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CF" w:rsidRPr="00356ACC" w:rsidRDefault="00BF30CF" w:rsidP="00BF30CF">
      <w:pPr>
        <w:pBdr>
          <w:bottom w:val="single" w:sz="6" w:space="1" w:color="auto"/>
        </w:pBdr>
        <w:spacing w:before="0" w:after="120"/>
        <w:jc w:val="center"/>
        <w:rPr>
          <w:rFonts w:cs="Arial"/>
          <w:b/>
          <w:caps/>
          <w:color w:val="006684"/>
          <w:szCs w:val="20"/>
        </w:rPr>
      </w:pPr>
      <w:bookmarkStart w:id="0" w:name="_Toc9523007"/>
      <w:r w:rsidRPr="00356ACC">
        <w:rPr>
          <w:rFonts w:cs="Arial"/>
          <w:b/>
          <w:caps/>
          <w:color w:val="006684"/>
          <w:szCs w:val="20"/>
        </w:rPr>
        <w:t xml:space="preserve">Informácie o spracúvaní </w:t>
      </w:r>
      <w:r w:rsidRPr="005B553B">
        <w:rPr>
          <w:rFonts w:cs="Arial"/>
          <w:b/>
          <w:caps/>
          <w:color w:val="006684"/>
          <w:szCs w:val="20"/>
        </w:rPr>
        <w:t>osobných údajov</w:t>
      </w:r>
      <w:r w:rsidRPr="00356ACC">
        <w:rPr>
          <w:rFonts w:cs="Arial"/>
          <w:b/>
          <w:caps/>
          <w:color w:val="006684"/>
          <w:szCs w:val="20"/>
        </w:rPr>
        <w:t xml:space="preserve"> spoločností skupiny Veolia Energia Slovensko</w:t>
      </w:r>
      <w:r>
        <w:rPr>
          <w:rFonts w:cs="Arial"/>
          <w:b/>
          <w:caps/>
          <w:color w:val="006684"/>
          <w:szCs w:val="20"/>
        </w:rPr>
        <w:t xml:space="preserve">: </w:t>
      </w:r>
      <w:r w:rsidRPr="00BF30CF">
        <w:rPr>
          <w:rFonts w:cs="Arial"/>
          <w:b/>
          <w:caps/>
          <w:color w:val="006684"/>
          <w:szCs w:val="20"/>
        </w:rPr>
        <w:t>CEZHRANIČNÝ PRENOS OSOBNÝCH ÚDAJOV</w:t>
      </w:r>
    </w:p>
    <w:p w:rsidR="00BF30CF" w:rsidRPr="005B553B" w:rsidRDefault="00BF30CF" w:rsidP="00BF30CF">
      <w:pPr>
        <w:spacing w:before="0" w:after="120"/>
        <w:jc w:val="center"/>
        <w:rPr>
          <w:rFonts w:cs="Arial"/>
          <w:szCs w:val="20"/>
        </w:rPr>
      </w:pPr>
      <w:r w:rsidRPr="005B553B">
        <w:rPr>
          <w:rFonts w:cs="Arial"/>
          <w:color w:val="006684"/>
          <w:szCs w:val="20"/>
        </w:rPr>
        <w:t>v rozsahu informačnej povinnosti podľa článkov 13 a 14 nariadenia Európskeho parlamentu a Rady 2016/679 o ochrane fyzických osôb pri spracúvaní osobných údajov a o voľnom pohybe takýchto údajov, ktorým sa zrušuje smernica 95/46/ES (ďalej len „</w:t>
      </w:r>
      <w:r w:rsidRPr="005B553B">
        <w:rPr>
          <w:rFonts w:cs="Arial"/>
          <w:b/>
          <w:color w:val="006684"/>
          <w:szCs w:val="20"/>
        </w:rPr>
        <w:t>Nariadenie</w:t>
      </w:r>
      <w:r w:rsidRPr="005B553B">
        <w:rPr>
          <w:rFonts w:cs="Arial"/>
          <w:color w:val="006684"/>
          <w:szCs w:val="20"/>
        </w:rPr>
        <w:t>“)</w:t>
      </w:r>
    </w:p>
    <w:bookmarkEnd w:id="0"/>
    <w:p w:rsidR="00033F3E" w:rsidRPr="00BF30CF" w:rsidRDefault="00033F3E" w:rsidP="00BF30CF">
      <w:pPr>
        <w:spacing w:before="0" w:after="120"/>
        <w:jc w:val="center"/>
        <w:rPr>
          <w:rFonts w:cs="Arial"/>
          <w:b/>
          <w:caps/>
          <w:color w:val="006684"/>
          <w:szCs w:val="20"/>
        </w:rPr>
      </w:pPr>
    </w:p>
    <w:p w:rsidR="00033F3E" w:rsidRPr="00BF30CF" w:rsidRDefault="00033F3E" w:rsidP="00BF30CF">
      <w:pPr>
        <w:pStyle w:val="Odsekzoznamu"/>
        <w:numPr>
          <w:ilvl w:val="0"/>
          <w:numId w:val="9"/>
        </w:numPr>
        <w:spacing w:before="0" w:after="120"/>
        <w:rPr>
          <w:rFonts w:cs="Arial"/>
          <w:b/>
          <w:caps/>
          <w:color w:val="006684"/>
          <w:szCs w:val="20"/>
        </w:rPr>
      </w:pPr>
      <w:r w:rsidRPr="00BF30CF">
        <w:rPr>
          <w:rFonts w:cs="Arial"/>
          <w:b/>
          <w:caps/>
          <w:color w:val="006684"/>
          <w:szCs w:val="20"/>
        </w:rPr>
        <w:t>PRENOS V RÁMCI ČLENSKÝCH ŠTÁTOV EU</w:t>
      </w:r>
    </w:p>
    <w:p w:rsidR="00033F3E" w:rsidRPr="00AA37E0" w:rsidRDefault="00033F3E" w:rsidP="00033F3E">
      <w:pPr>
        <w:pStyle w:val="Nadpis1"/>
        <w:ind w:left="360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Prenos osobných údajov v rámci členských štátov EU nepredstavuje pre dotknuté osoby zvýšené riziko porušenia bezpečnosti osobných údajov, nakoľko hlavným cieľom a efektom prijatia Všeobecného nariadenia o ochrane osobných údajov je zabezpečenie štandardizovanej ochrany osobných údajov v celej EU a tým umožnenie efektívnejšieho voľného pohybu osôb, tovarov a služieb medzi členskými krajinami.</w:t>
      </w:r>
    </w:p>
    <w:p w:rsidR="003D3585" w:rsidRPr="00AA37E0" w:rsidRDefault="00033F3E" w:rsidP="003D3585">
      <w:pPr>
        <w:pStyle w:val="Nadpis1"/>
        <w:ind w:left="360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Spoločnosti skupiny </w:t>
      </w:r>
      <w:proofErr w:type="spellStart"/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Veolia</w:t>
      </w:r>
      <w:proofErr w:type="spellEnd"/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Energia Slovensko patria do skupiny spoločností </w:t>
      </w:r>
      <w:proofErr w:type="spellStart"/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Veolia</w:t>
      </w:r>
      <w:proofErr w:type="spellEnd"/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. Na účely koncernového riadenia, kontroly a administrácie spoločnosti skupiny </w:t>
      </w:r>
      <w:proofErr w:type="spellStart"/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Veolia</w:t>
      </w:r>
      <w:proofErr w:type="spellEnd"/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sú niektoré vybrané kategórie údajov vrátane osobných údajov poskytované alebo sprístupňované iným spoločnostiam skupiny </w:t>
      </w:r>
      <w:proofErr w:type="spellStart"/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Veolia</w:t>
      </w:r>
      <w:proofErr w:type="spellEnd"/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, </w:t>
      </w:r>
      <w:r w:rsidR="003D3585"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prípadne sú spracúvané dodávateľmi so sídlom v Českej republike, ktoré sú rovnako prepojenými osobami v rámci skupiny </w:t>
      </w:r>
      <w:proofErr w:type="spellStart"/>
      <w:r w:rsidR="003D3585"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Veolia</w:t>
      </w:r>
      <w:proofErr w:type="spellEnd"/>
      <w:r w:rsidR="003D3585"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: </w:t>
      </w:r>
    </w:p>
    <w:p w:rsidR="003D3585" w:rsidRPr="00AA37E0" w:rsidRDefault="003D3585" w:rsidP="003D3585">
      <w:pPr>
        <w:pStyle w:val="Nadpis1"/>
        <w:spacing w:before="0" w:after="120"/>
        <w:ind w:left="357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proofErr w:type="spellStart"/>
      <w:r w:rsidRPr="00AA37E0">
        <w:rPr>
          <w:rFonts w:ascii="Arial" w:hAnsi="Arial" w:cs="Arial"/>
          <w:color w:val="7F7F7F" w:themeColor="text1" w:themeTint="80"/>
          <w:sz w:val="20"/>
          <w:szCs w:val="20"/>
          <w:u w:val="none"/>
        </w:rPr>
        <w:t>Veolia</w:t>
      </w:r>
      <w:proofErr w:type="spellEnd"/>
      <w:r w:rsidRPr="00AA37E0">
        <w:rPr>
          <w:rFonts w:ascii="Arial" w:hAnsi="Arial" w:cs="Arial"/>
          <w:color w:val="7F7F7F" w:themeColor="text1" w:themeTint="80"/>
          <w:sz w:val="20"/>
          <w:szCs w:val="20"/>
          <w:u w:val="none"/>
        </w:rPr>
        <w:t xml:space="preserve"> </w:t>
      </w:r>
      <w:proofErr w:type="spellStart"/>
      <w:r w:rsidRPr="00AA37E0">
        <w:rPr>
          <w:rFonts w:ascii="Arial" w:hAnsi="Arial" w:cs="Arial"/>
          <w:color w:val="7F7F7F" w:themeColor="text1" w:themeTint="80"/>
          <w:sz w:val="20"/>
          <w:szCs w:val="20"/>
          <w:u w:val="none"/>
        </w:rPr>
        <w:t>Environnement</w:t>
      </w:r>
      <w:proofErr w:type="spellEnd"/>
      <w:r w:rsidRPr="00AA37E0">
        <w:rPr>
          <w:rFonts w:ascii="Arial" w:hAnsi="Arial" w:cs="Arial"/>
          <w:color w:val="7F7F7F" w:themeColor="text1" w:themeTint="80"/>
          <w:sz w:val="20"/>
          <w:szCs w:val="20"/>
          <w:u w:val="none"/>
        </w:rPr>
        <w:t xml:space="preserve"> - VE, SA</w:t>
      </w: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, 21 </w:t>
      </w:r>
      <w:proofErr w:type="spellStart"/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Rue</w:t>
      </w:r>
      <w:proofErr w:type="spellEnd"/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La </w:t>
      </w:r>
      <w:proofErr w:type="spellStart"/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Boétie</w:t>
      </w:r>
      <w:proofErr w:type="spellEnd"/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, 750 08 Paríž, Francúzsko – </w:t>
      </w:r>
      <w:r w:rsidR="00B9156C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poskytujú sa výlučne osobné údaje zamestnancov na účely koncernového riadenia</w:t>
      </w:r>
    </w:p>
    <w:p w:rsidR="00B9156C" w:rsidRPr="00AA37E0" w:rsidRDefault="00033F3E" w:rsidP="00B9156C">
      <w:pPr>
        <w:pStyle w:val="Nadpis1"/>
        <w:spacing w:before="0" w:after="120"/>
        <w:ind w:left="357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color w:val="7F7F7F" w:themeColor="text1" w:themeTint="80"/>
          <w:sz w:val="20"/>
          <w:szCs w:val="20"/>
          <w:u w:val="none"/>
        </w:rPr>
        <w:t>VEOLIA ČESKÁ REPUBLIKA, a.s.</w:t>
      </w: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, </w:t>
      </w:r>
      <w:proofErr w:type="spellStart"/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Florentinum</w:t>
      </w:r>
      <w:proofErr w:type="spellEnd"/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, Na </w:t>
      </w:r>
      <w:proofErr w:type="spellStart"/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Florenci</w:t>
      </w:r>
      <w:proofErr w:type="spellEnd"/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2116/15</w:t>
      </w:r>
      <w:r w:rsidR="003D3585"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, Praha, Česká republika </w:t>
      </w: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– koncernové riadenie</w:t>
      </w:r>
      <w:r w:rsidR="00B9156C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</w:t>
      </w:r>
      <w:r w:rsidR="00B9156C"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– </w:t>
      </w:r>
      <w:r w:rsidR="00B9156C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poskytujú sa výlučne osobné údaje zamestnancov na účely koncernového riadenia</w:t>
      </w:r>
    </w:p>
    <w:p w:rsidR="00033F3E" w:rsidRPr="00AA37E0" w:rsidRDefault="00033F3E" w:rsidP="00033F3E">
      <w:pPr>
        <w:pStyle w:val="Nadpis1"/>
        <w:spacing w:before="0" w:after="120"/>
        <w:ind w:left="357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proofErr w:type="spellStart"/>
      <w:r w:rsidRPr="00AA37E0">
        <w:rPr>
          <w:rFonts w:ascii="Arial" w:hAnsi="Arial" w:cs="Arial"/>
          <w:color w:val="7F7F7F" w:themeColor="text1" w:themeTint="80"/>
          <w:sz w:val="20"/>
          <w:szCs w:val="20"/>
          <w:u w:val="none"/>
        </w:rPr>
        <w:t>Solutions</w:t>
      </w:r>
      <w:proofErr w:type="spellEnd"/>
      <w:r w:rsidRPr="00AA37E0">
        <w:rPr>
          <w:rFonts w:ascii="Arial" w:hAnsi="Arial" w:cs="Arial"/>
          <w:color w:val="7F7F7F" w:themeColor="text1" w:themeTint="80"/>
          <w:sz w:val="20"/>
          <w:szCs w:val="20"/>
          <w:u w:val="none"/>
        </w:rPr>
        <w:t xml:space="preserve"> and </w:t>
      </w:r>
      <w:proofErr w:type="spellStart"/>
      <w:r w:rsidRPr="00AA37E0">
        <w:rPr>
          <w:rFonts w:ascii="Arial" w:hAnsi="Arial" w:cs="Arial"/>
          <w:color w:val="7F7F7F" w:themeColor="text1" w:themeTint="80"/>
          <w:sz w:val="20"/>
          <w:szCs w:val="20"/>
          <w:u w:val="none"/>
        </w:rPr>
        <w:t>Service</w:t>
      </w:r>
      <w:proofErr w:type="spellEnd"/>
      <w:r w:rsidRPr="00AA37E0">
        <w:rPr>
          <w:rFonts w:ascii="Arial" w:hAnsi="Arial" w:cs="Arial"/>
          <w:color w:val="7F7F7F" w:themeColor="text1" w:themeTint="80"/>
          <w:sz w:val="20"/>
          <w:szCs w:val="20"/>
          <w:u w:val="none"/>
        </w:rPr>
        <w:t xml:space="preserve">, a.s. </w:t>
      </w: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n</w:t>
      </w:r>
      <w:r w:rsidRPr="00033F3E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a </w:t>
      </w:r>
      <w:proofErr w:type="spellStart"/>
      <w:r w:rsidRPr="00033F3E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Florenci</w:t>
      </w:r>
      <w:proofErr w:type="spellEnd"/>
      <w:r w:rsidRPr="00033F3E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2116/15</w:t>
      </w: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, </w:t>
      </w:r>
      <w:r w:rsidRPr="00033F3E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Nové </w:t>
      </w:r>
      <w:proofErr w:type="spellStart"/>
      <w:r w:rsidRPr="00033F3E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Město</w:t>
      </w:r>
      <w:proofErr w:type="spellEnd"/>
      <w:r w:rsidRPr="00033F3E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, 110 00  Praha 1</w:t>
      </w:r>
      <w:r w:rsidR="003D3585"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– dodávateľ  služieb IT</w:t>
      </w:r>
    </w:p>
    <w:p w:rsidR="003D3585" w:rsidRPr="00AA37E0" w:rsidRDefault="003D3585" w:rsidP="003D3585">
      <w:pPr>
        <w:pStyle w:val="Nadpis1"/>
        <w:spacing w:before="0" w:after="120"/>
        <w:ind w:left="357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proofErr w:type="spellStart"/>
      <w:r w:rsidRPr="00AA37E0">
        <w:rPr>
          <w:rFonts w:ascii="Arial" w:hAnsi="Arial" w:cs="Arial"/>
          <w:color w:val="7F7F7F" w:themeColor="text1" w:themeTint="80"/>
          <w:sz w:val="20"/>
          <w:szCs w:val="20"/>
          <w:u w:val="none"/>
        </w:rPr>
        <w:t>Popron</w:t>
      </w:r>
      <w:proofErr w:type="spellEnd"/>
      <w:r w:rsidRPr="00AA37E0">
        <w:rPr>
          <w:rFonts w:ascii="Arial" w:hAnsi="Arial" w:cs="Arial"/>
          <w:color w:val="7F7F7F" w:themeColor="text1" w:themeTint="80"/>
          <w:sz w:val="20"/>
          <w:szCs w:val="20"/>
          <w:u w:val="none"/>
        </w:rPr>
        <w:t xml:space="preserve"> </w:t>
      </w:r>
      <w:proofErr w:type="spellStart"/>
      <w:r w:rsidRPr="00AA37E0">
        <w:rPr>
          <w:rFonts w:ascii="Arial" w:hAnsi="Arial" w:cs="Arial"/>
          <w:color w:val="7F7F7F" w:themeColor="text1" w:themeTint="80"/>
          <w:sz w:val="20"/>
          <w:szCs w:val="20"/>
          <w:u w:val="none"/>
        </w:rPr>
        <w:t>Systems</w:t>
      </w:r>
      <w:proofErr w:type="spellEnd"/>
      <w:r w:rsidRPr="00AA37E0">
        <w:rPr>
          <w:rFonts w:ascii="Arial" w:hAnsi="Arial" w:cs="Arial"/>
          <w:color w:val="7F7F7F" w:themeColor="text1" w:themeTint="80"/>
          <w:sz w:val="20"/>
          <w:szCs w:val="20"/>
          <w:u w:val="none"/>
        </w:rPr>
        <w:t xml:space="preserve">, s.r.o. </w:t>
      </w: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Revoluční 1082/8, Nové </w:t>
      </w:r>
      <w:proofErr w:type="spellStart"/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Město</w:t>
      </w:r>
      <w:proofErr w:type="spellEnd"/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, 110 00 Praha 1 – dodávateľ  služieb IT</w:t>
      </w:r>
    </w:p>
    <w:p w:rsidR="003D3585" w:rsidRPr="003D3585" w:rsidRDefault="003D3585" w:rsidP="003D3585">
      <w:pPr>
        <w:pStyle w:val="Nadpis1"/>
        <w:spacing w:before="0" w:after="120"/>
        <w:ind w:left="357"/>
      </w:pPr>
    </w:p>
    <w:p w:rsidR="00033F3E" w:rsidRPr="00BF30CF" w:rsidRDefault="00033F3E" w:rsidP="00BF30CF">
      <w:pPr>
        <w:pStyle w:val="Odsekzoznamu"/>
        <w:numPr>
          <w:ilvl w:val="0"/>
          <w:numId w:val="9"/>
        </w:numPr>
        <w:spacing w:before="0" w:after="120"/>
        <w:rPr>
          <w:rFonts w:cs="Arial"/>
          <w:b/>
          <w:caps/>
          <w:color w:val="006684"/>
          <w:szCs w:val="20"/>
        </w:rPr>
      </w:pPr>
      <w:r w:rsidRPr="00BF30CF">
        <w:rPr>
          <w:rFonts w:cs="Arial"/>
          <w:b/>
          <w:caps/>
          <w:color w:val="006684"/>
          <w:szCs w:val="20"/>
        </w:rPr>
        <w:t>PRENOS MIMO ČLENSKÝCH ŠTÁTOV EU</w:t>
      </w:r>
    </w:p>
    <w:p w:rsidR="00033F3E" w:rsidRPr="00AA37E0" w:rsidRDefault="00033F3E" w:rsidP="00033F3E">
      <w:pPr>
        <w:pStyle w:val="Nadpis1"/>
        <w:ind w:left="360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Prenos osobných údajov do tretích krajín a medzinárodným organizáciám  (tzv. Cezhraničný prenos  - prenos mimo EU) je možné realizovať na nasledovných základoch podľa kapitoly V Nariadenia:</w:t>
      </w:r>
    </w:p>
    <w:p w:rsidR="00033F3E" w:rsidRPr="00AA37E0" w:rsidRDefault="00033F3E" w:rsidP="00033F3E">
      <w:pPr>
        <w:pStyle w:val="Nadpis1"/>
        <w:numPr>
          <w:ilvl w:val="0"/>
          <w:numId w:val="3"/>
        </w:numP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color w:val="7F7F7F" w:themeColor="text1" w:themeTint="80"/>
          <w:sz w:val="20"/>
          <w:szCs w:val="20"/>
          <w:u w:val="none"/>
        </w:rPr>
        <w:t>Rozhodnutie o primeranosti –</w:t>
      </w: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v prípade, ak Komisia rozhodla, že tretia krajina, územie alebo jeden či viaceré určené sektory v danej tretej krajine alebo predmetná medzinárodná organizácia zaručujú primeranú úroveň ochrany. Na takýto prenos nie je nutné žiadne osobitné povolenie.</w:t>
      </w:r>
    </w:p>
    <w:p w:rsidR="00033F3E" w:rsidRPr="00AA37E0" w:rsidRDefault="00033F3E" w:rsidP="00033F3E">
      <w:pPr>
        <w:pStyle w:val="Nadpis1"/>
        <w:numPr>
          <w:ilvl w:val="0"/>
          <w:numId w:val="3"/>
        </w:numP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color w:val="7F7F7F" w:themeColor="text1" w:themeTint="80"/>
          <w:sz w:val="20"/>
          <w:szCs w:val="20"/>
          <w:u w:val="none"/>
        </w:rPr>
        <w:t>Prenosy vyžadujúce primerané záruky –</w:t>
      </w: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v prípade neexistencie rozhodnutia o primeranosti; je prenos možný len vtedy, ak prevádzkovateľ alebo sprostredkovateľ:</w:t>
      </w:r>
    </w:p>
    <w:p w:rsidR="00033F3E" w:rsidRPr="00AA37E0" w:rsidRDefault="00033F3E" w:rsidP="00033F3E">
      <w:pPr>
        <w:pStyle w:val="Nadpis1"/>
        <w:numPr>
          <w:ilvl w:val="1"/>
          <w:numId w:val="4"/>
        </w:numP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poskytol primerané záruky (prostredníctvom zákonnej povinnosti; alebo záväzných vnútropodnikových pravidiel; alebo štandardných doložiek o ochrane údajov schválených komisiou; alebo schváleného kódexu správania; alebo schváleného certifikačného mechanizmu alebo na základe povoľovacieho mechanizmu od príslušného dozorného úradu); a zároveň</w:t>
      </w:r>
    </w:p>
    <w:p w:rsidR="00033F3E" w:rsidRPr="00AA37E0" w:rsidRDefault="00033F3E" w:rsidP="00033F3E">
      <w:pPr>
        <w:pStyle w:val="Nadpis1"/>
        <w:numPr>
          <w:ilvl w:val="1"/>
          <w:numId w:val="4"/>
        </w:numP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za podmienky, že dotknuté osoby majú k dispozícii vymožiteľné práva a účinné právne prostriedky nápravy. </w:t>
      </w:r>
    </w:p>
    <w:p w:rsidR="00033F3E" w:rsidRPr="00AA37E0" w:rsidRDefault="00033F3E" w:rsidP="00033F3E">
      <w:pPr>
        <w:pStyle w:val="Nadpis1"/>
        <w:numPr>
          <w:ilvl w:val="0"/>
          <w:numId w:val="3"/>
        </w:numP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color w:val="7F7F7F" w:themeColor="text1" w:themeTint="80"/>
          <w:sz w:val="20"/>
          <w:szCs w:val="20"/>
          <w:u w:val="none"/>
        </w:rPr>
        <w:t>Osobitné situácie -</w:t>
      </w: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ak neexistuje rozhodnutie o primeranosti alebo ak neexistujú primerané záruky, tak prenos osobných údajov do tretej krajiny alebo medzinárodnej organizácii sa uskutoční len za  v Nariadení taxatívne uvedených podmienok, </w:t>
      </w:r>
    </w:p>
    <w:p w:rsidR="00033F3E" w:rsidRPr="00AA37E0" w:rsidRDefault="00033F3E" w:rsidP="00033F3E">
      <w:pPr>
        <w:pStyle w:val="Nadpis1"/>
        <w:numPr>
          <w:ilvl w:val="2"/>
          <w:numId w:val="2"/>
        </w:numPr>
        <w:ind w:left="1418" w:hanging="425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lastRenderedPageBreak/>
        <w:t>dotknutá osoba vyjadrila výslovný súhlas s navrhovaným prenosom po tom, ako bola informovaná o rizikách, ktoré takéto prenosy môžu pre ňu predstavovať z dôvodu absencie rozhodnutia o primeranosti a primeraných záruk,</w:t>
      </w:r>
    </w:p>
    <w:p w:rsidR="00033F3E" w:rsidRPr="00AA37E0" w:rsidRDefault="00033F3E" w:rsidP="00033F3E">
      <w:pPr>
        <w:pStyle w:val="Nadpis1"/>
        <w:numPr>
          <w:ilvl w:val="2"/>
          <w:numId w:val="2"/>
        </w:numPr>
        <w:ind w:left="1418" w:hanging="425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prenos je nevyhnutný na plnenie zmluvy medzi dotknutou osobou a prevádzkovateľom alebo na vykonanie predzmluvných opatrení prijatých na žiadosť dotknutej osoby,</w:t>
      </w:r>
    </w:p>
    <w:p w:rsidR="00033F3E" w:rsidRPr="00AA37E0" w:rsidRDefault="00033F3E" w:rsidP="00033F3E">
      <w:pPr>
        <w:pStyle w:val="Nadpis1"/>
        <w:numPr>
          <w:ilvl w:val="2"/>
          <w:numId w:val="2"/>
        </w:numPr>
        <w:ind w:left="1418" w:hanging="425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prenos je nevyhnutný pre uzatvorenie alebo plnenie zmluvy uzatvorenej v záujme dotknutej osoby medzi prevádzkovateľom a inou fyzickou alebo právnickou osobou,</w:t>
      </w:r>
    </w:p>
    <w:p w:rsidR="00033F3E" w:rsidRPr="00AA37E0" w:rsidRDefault="00033F3E" w:rsidP="00033F3E">
      <w:pPr>
        <w:pStyle w:val="Nadpis1"/>
        <w:numPr>
          <w:ilvl w:val="2"/>
          <w:numId w:val="2"/>
        </w:numPr>
        <w:ind w:left="1418" w:hanging="425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prenos je nevyhnutný z dôležitých dôvodov verejného záujmu;</w:t>
      </w:r>
    </w:p>
    <w:p w:rsidR="00033F3E" w:rsidRPr="00AA37E0" w:rsidRDefault="00033F3E" w:rsidP="00033F3E">
      <w:pPr>
        <w:pStyle w:val="Nadpis1"/>
        <w:numPr>
          <w:ilvl w:val="2"/>
          <w:numId w:val="2"/>
        </w:numPr>
        <w:ind w:left="1418" w:hanging="425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prenos je nevyhnutný na preukazovanie, uplatňovanie alebo obhajovanie právnych nárokov,</w:t>
      </w:r>
    </w:p>
    <w:p w:rsidR="00033F3E" w:rsidRPr="00AA37E0" w:rsidRDefault="00033F3E" w:rsidP="00033F3E">
      <w:pPr>
        <w:pStyle w:val="Nadpis1"/>
        <w:numPr>
          <w:ilvl w:val="2"/>
          <w:numId w:val="2"/>
        </w:numPr>
        <w:ind w:left="1418" w:hanging="425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prenos je nevyhnutný na ochranu životne dôležitých záujmov dotknutej osoby alebo iných osôb, ak je dotknutá osoba fyzicky alebo právne nespôsobilá vyjadriť súhlas,</w:t>
      </w:r>
    </w:p>
    <w:p w:rsidR="00033F3E" w:rsidRPr="00AA37E0" w:rsidRDefault="00033F3E" w:rsidP="00033F3E">
      <w:pPr>
        <w:pStyle w:val="Nadpis1"/>
        <w:numPr>
          <w:ilvl w:val="2"/>
          <w:numId w:val="2"/>
        </w:numPr>
        <w:ind w:left="1418" w:hanging="425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prenos sa uskutočňuje z verejného registra, ale len pokiaľ sú v tomto konkrétnom prípade splnené podmienky stanovené právom Únie alebo právom členského štátu na nahliadanie</w:t>
      </w:r>
    </w:p>
    <w:p w:rsidR="00033F3E" w:rsidRPr="00AA37E0" w:rsidRDefault="00033F3E" w:rsidP="00033F3E">
      <w:pPr>
        <w:pStyle w:val="Nadpis1"/>
        <w:numPr>
          <w:ilvl w:val="0"/>
          <w:numId w:val="3"/>
        </w:numP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bookmarkStart w:id="1" w:name="a49_p1b"/>
      <w:bookmarkStart w:id="2" w:name="zeile_688"/>
      <w:bookmarkStart w:id="3" w:name="a49_p1c"/>
      <w:bookmarkStart w:id="4" w:name="zeile_689"/>
      <w:bookmarkStart w:id="5" w:name="a49_p1d"/>
      <w:bookmarkStart w:id="6" w:name="zeile_690"/>
      <w:bookmarkStart w:id="7" w:name="a49_p1e"/>
      <w:bookmarkStart w:id="8" w:name="zeile_691"/>
      <w:bookmarkStart w:id="9" w:name="a49_p1f"/>
      <w:bookmarkStart w:id="10" w:name="zeile_692"/>
      <w:bookmarkStart w:id="11" w:name="a49_p1g"/>
      <w:bookmarkStart w:id="12" w:name="zeile_69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AA37E0">
        <w:rPr>
          <w:rFonts w:ascii="Arial" w:hAnsi="Arial" w:cs="Arial"/>
          <w:color w:val="7F7F7F" w:themeColor="text1" w:themeTint="80"/>
          <w:sz w:val="20"/>
          <w:szCs w:val="20"/>
          <w:u w:val="none"/>
        </w:rPr>
        <w:t>Neopakujúci sa prenos -</w:t>
      </w: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ak neexistuje rozhodnutie o primeranosti alebo ak neexistujú primerané záruky, ani výnimky osobitných situácii, tak prenos do tretej krajiny alebo medzinárodnej organizácii sa môže uskutočniť, len ak: </w:t>
      </w:r>
    </w:p>
    <w:p w:rsidR="00033F3E" w:rsidRPr="00AA37E0" w:rsidRDefault="00033F3E" w:rsidP="00033F3E">
      <w:pPr>
        <w:pStyle w:val="Nadpis1"/>
        <w:numPr>
          <w:ilvl w:val="0"/>
          <w:numId w:val="5"/>
        </w:numP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prenos nie je opakujúcej sa povahy;</w:t>
      </w:r>
    </w:p>
    <w:p w:rsidR="00033F3E" w:rsidRPr="00AA37E0" w:rsidRDefault="00033F3E" w:rsidP="00033F3E">
      <w:pPr>
        <w:pStyle w:val="Nadpis1"/>
        <w:numPr>
          <w:ilvl w:val="0"/>
          <w:numId w:val="5"/>
        </w:numP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týka sa len obmedzeného počtu dotknutých osôb; </w:t>
      </w:r>
    </w:p>
    <w:p w:rsidR="00033F3E" w:rsidRPr="00AA37E0" w:rsidRDefault="00033F3E" w:rsidP="00033F3E">
      <w:pPr>
        <w:pStyle w:val="Nadpis1"/>
        <w:numPr>
          <w:ilvl w:val="0"/>
          <w:numId w:val="5"/>
        </w:numP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je nevyhnutný na účely závažných oprávnených záujmov, ktoré sleduje prevádzkovateľ a nad ktorými neprevažujú záujmy alebo práva a slobody dotknutej osoby, a prevádzkovateľ posúdil všetky okolnosti sprevádzajúce prenos údajov a na základe tohto posúdenia poskytol vhodné záruky, pokiaľ ide o ochranu osobných údajov;  </w:t>
      </w:r>
    </w:p>
    <w:p w:rsidR="00033F3E" w:rsidRPr="00AA37E0" w:rsidRDefault="00033F3E" w:rsidP="00033F3E">
      <w:pPr>
        <w:pStyle w:val="Nadpis1"/>
        <w:numPr>
          <w:ilvl w:val="0"/>
          <w:numId w:val="5"/>
        </w:numP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prevádzkovateľ informuje o prenose úrad a dotknutú osobu. Prevádzkovateľ okrem poskytnutia informácií uvedených v článkoch 13 a 14 informuje dotknutú osobu o prenose a o závažných oprávnených záujmoch, ktoré sleduje. </w:t>
      </w:r>
    </w:p>
    <w:p w:rsidR="00033F3E" w:rsidRPr="00AA37E0" w:rsidRDefault="00033F3E" w:rsidP="00033F3E">
      <w:pPr>
        <w:pStyle w:val="Nadpis1"/>
        <w:numPr>
          <w:ilvl w:val="0"/>
          <w:numId w:val="5"/>
        </w:numP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neuplatňuje sa na činnosti, ktoré vykonávajú orgány verejnej moci pri uplatňovaní svojich verejných právomocí; </w:t>
      </w:r>
    </w:p>
    <w:p w:rsidR="00033F3E" w:rsidRPr="00AA37E0" w:rsidRDefault="00033F3E" w:rsidP="00033F3E">
      <w:pPr>
        <w:pStyle w:val="Nadpis1"/>
        <w:numPr>
          <w:ilvl w:val="0"/>
          <w:numId w:val="5"/>
        </w:numP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prevádzkovateľ alebo sprostredkovateľ zdokumentujú posúdenie, ako aj vhodné záruky v záznamoch o spracovateľských činnostiach.</w:t>
      </w:r>
    </w:p>
    <w:p w:rsidR="00033F3E" w:rsidRPr="00AA37E0" w:rsidRDefault="00B9156C" w:rsidP="00033F3E">
      <w:pPr>
        <w:pStyle w:val="Nadpis1"/>
        <w:ind w:left="360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bookmarkStart w:id="13" w:name="_Toc9523008"/>
      <w:bookmarkStart w:id="14" w:name="_GoBack"/>
      <w: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Skupiny spoločnosti </w:t>
      </w:r>
      <w:proofErr w:type="spellStart"/>
      <w: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Veolia</w:t>
      </w:r>
      <w:proofErr w:type="spellEnd"/>
      <w: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Energia Slovensko</w:t>
      </w:r>
      <w:r w:rsidR="00033F3E"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minimalizuj</w:t>
      </w:r>
      <w: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ú prenášanie o</w:t>
      </w:r>
      <w:r w:rsidR="00033F3E"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sobných údajov do kr</w:t>
      </w:r>
      <w: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ajín mimo Európsku úniu a venujú</w:t>
      </w:r>
      <w:r w:rsidR="00033F3E"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tejto oblasti zvýšenú pozornosť najmä v oblasti riadenia vzťahov s dodávateľmi (vylúčenie cezhraničného prenosu do tretích krajín v zmluve so sprostredkovateľmi, oznamovacia povinnosť sprostredkovateľa v prípade, ak je prenos nevyhnutný, </w:t>
      </w:r>
      <w: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overovanie</w:t>
      </w:r>
      <w:r w:rsidR="00033F3E"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ne/existencie prenosu </w:t>
      </w:r>
      <w: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v rámci</w:t>
      </w:r>
      <w:r w:rsidR="00033F3E"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prevereni</w:t>
      </w:r>
      <w: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a</w:t>
      </w:r>
      <w:r w:rsidR="00033F3E"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technických a organizačných opatrení </w:t>
      </w:r>
      <w:r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u s</w:t>
      </w:r>
      <w:r w:rsidR="00033F3E"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prostredkovateľa) </w:t>
      </w:r>
    </w:p>
    <w:p w:rsidR="00033F3E" w:rsidRPr="00AA37E0" w:rsidRDefault="00033F3E" w:rsidP="00033F3E">
      <w:pPr>
        <w:pStyle w:val="Nadpis1"/>
        <w:ind w:left="360"/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</w:pP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V prípade, ak by bol identifikovaný prenos osobných údajov do tretích krajín alebo medzinárodným organizáciám, </w:t>
      </w:r>
      <w:r w:rsidR="00B9156C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k</w:t>
      </w: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oordinátor </w:t>
      </w:r>
      <w:r w:rsidR="003D3585"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osobných údajov </w:t>
      </w:r>
      <w:r w:rsidR="00B9156C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>v spolupráci so zodpovednou osobou</w:t>
      </w:r>
      <w:r w:rsidRPr="00AA37E0">
        <w:rPr>
          <w:rFonts w:ascii="Arial" w:hAnsi="Arial" w:cs="Arial"/>
          <w:b w:val="0"/>
          <w:color w:val="7F7F7F" w:themeColor="text1" w:themeTint="80"/>
          <w:sz w:val="20"/>
          <w:szCs w:val="20"/>
          <w:u w:val="none"/>
        </w:rPr>
        <w:t xml:space="preserve"> zabezpečia splnenie podmienok podľa Nariadenia.</w:t>
      </w:r>
      <w:bookmarkEnd w:id="13"/>
    </w:p>
    <w:bookmarkEnd w:id="14"/>
    <w:p w:rsidR="00F013D1" w:rsidRDefault="00F013D1"/>
    <w:sectPr w:rsidR="00F01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11D"/>
    <w:multiLevelType w:val="hybridMultilevel"/>
    <w:tmpl w:val="3878BB56"/>
    <w:lvl w:ilvl="0" w:tplc="671E4B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7CF43D68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84744"/>
    <w:multiLevelType w:val="hybridMultilevel"/>
    <w:tmpl w:val="DE0064A6"/>
    <w:lvl w:ilvl="0" w:tplc="E36A0230">
      <w:start w:val="1"/>
      <w:numFmt w:val="bullet"/>
      <w:pStyle w:val="SEMSimpleGraphicBulletpoin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6684"/>
        <w:sz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6715A6"/>
    <w:multiLevelType w:val="hybridMultilevel"/>
    <w:tmpl w:val="14C66ED8"/>
    <w:lvl w:ilvl="0" w:tplc="82FEA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62AE"/>
    <w:multiLevelType w:val="hybridMultilevel"/>
    <w:tmpl w:val="FFB2F9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B">
      <w:start w:val="1"/>
      <w:numFmt w:val="lowerRoman"/>
      <w:lvlText w:val="%2."/>
      <w:lvlJc w:val="righ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A2C7D"/>
    <w:multiLevelType w:val="multilevel"/>
    <w:tmpl w:val="F3CC7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38AF4F17"/>
    <w:multiLevelType w:val="hybridMultilevel"/>
    <w:tmpl w:val="E73EF9B0"/>
    <w:lvl w:ilvl="0" w:tplc="041B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600233"/>
    <w:multiLevelType w:val="hybridMultilevel"/>
    <w:tmpl w:val="C44ADF88"/>
    <w:lvl w:ilvl="0" w:tplc="82FEA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1414C"/>
    <w:multiLevelType w:val="hybridMultilevel"/>
    <w:tmpl w:val="7A06DC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E3012"/>
    <w:multiLevelType w:val="hybridMultilevel"/>
    <w:tmpl w:val="C44ADF88"/>
    <w:lvl w:ilvl="0" w:tplc="82FEA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3E"/>
    <w:rsid w:val="00033F3E"/>
    <w:rsid w:val="003D3585"/>
    <w:rsid w:val="004B4694"/>
    <w:rsid w:val="00AA37E0"/>
    <w:rsid w:val="00AC311D"/>
    <w:rsid w:val="00B9156C"/>
    <w:rsid w:val="00BF30CF"/>
    <w:rsid w:val="00F0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0CF"/>
    <w:pPr>
      <w:spacing w:before="240" w:after="0" w:line="278" w:lineRule="auto"/>
    </w:pPr>
    <w:rPr>
      <w:rFonts w:ascii="Arial" w:hAnsi="Arial"/>
      <w:sz w:val="20"/>
    </w:rPr>
  </w:style>
  <w:style w:type="paragraph" w:styleId="Nadpis1">
    <w:name w:val="heading 1"/>
    <w:basedOn w:val="Zkladntext"/>
    <w:next w:val="Normlny"/>
    <w:link w:val="Nadpis1Char"/>
    <w:qFormat/>
    <w:rsid w:val="00033F3E"/>
    <w:pPr>
      <w:spacing w:before="6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3F3E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33F3E"/>
    <w:pPr>
      <w:spacing w:before="0" w:after="120" w:line="276" w:lineRule="auto"/>
    </w:pPr>
    <w:rPr>
      <w:rFonts w:asciiTheme="minorHAnsi" w:hAnsiTheme="minorHAnsi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33F3E"/>
  </w:style>
  <w:style w:type="paragraph" w:customStyle="1" w:styleId="SEMSimpleGraphicBulletpoint">
    <w:name w:val="SEM_Simple Graphic Bulletpoint"/>
    <w:basedOn w:val="Normlny"/>
    <w:qFormat/>
    <w:rsid w:val="00033F3E"/>
    <w:pPr>
      <w:numPr>
        <w:numId w:val="8"/>
      </w:numPr>
      <w:tabs>
        <w:tab w:val="left" w:pos="0"/>
      </w:tabs>
      <w:jc w:val="both"/>
    </w:pPr>
    <w:rPr>
      <w:rFonts w:eastAsiaTheme="minorEastAsia"/>
      <w:lang w:eastAsia="sk-SK" w:bidi="he-IL"/>
    </w:rPr>
  </w:style>
  <w:style w:type="paragraph" w:styleId="Odsekzoznamu">
    <w:name w:val="List Paragraph"/>
    <w:basedOn w:val="Normlny"/>
    <w:uiPriority w:val="34"/>
    <w:qFormat/>
    <w:rsid w:val="00BF3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30CF"/>
    <w:pPr>
      <w:spacing w:before="240" w:after="0" w:line="278" w:lineRule="auto"/>
    </w:pPr>
    <w:rPr>
      <w:rFonts w:ascii="Arial" w:hAnsi="Arial"/>
      <w:sz w:val="20"/>
    </w:rPr>
  </w:style>
  <w:style w:type="paragraph" w:styleId="Nadpis1">
    <w:name w:val="heading 1"/>
    <w:basedOn w:val="Zkladntext"/>
    <w:next w:val="Normlny"/>
    <w:link w:val="Nadpis1Char"/>
    <w:qFormat/>
    <w:rsid w:val="00033F3E"/>
    <w:pPr>
      <w:spacing w:before="60" w:after="24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3F3E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33F3E"/>
    <w:pPr>
      <w:spacing w:before="0" w:after="120" w:line="276" w:lineRule="auto"/>
    </w:pPr>
    <w:rPr>
      <w:rFonts w:asciiTheme="minorHAnsi" w:hAnsiTheme="minorHAnsi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33F3E"/>
  </w:style>
  <w:style w:type="paragraph" w:customStyle="1" w:styleId="SEMSimpleGraphicBulletpoint">
    <w:name w:val="SEM_Simple Graphic Bulletpoint"/>
    <w:basedOn w:val="Normlny"/>
    <w:qFormat/>
    <w:rsid w:val="00033F3E"/>
    <w:pPr>
      <w:numPr>
        <w:numId w:val="8"/>
      </w:numPr>
      <w:tabs>
        <w:tab w:val="left" w:pos="0"/>
      </w:tabs>
      <w:jc w:val="both"/>
    </w:pPr>
    <w:rPr>
      <w:rFonts w:eastAsiaTheme="minorEastAsia"/>
      <w:lang w:eastAsia="sk-SK" w:bidi="he-IL"/>
    </w:rPr>
  </w:style>
  <w:style w:type="paragraph" w:styleId="Odsekzoznamu">
    <w:name w:val="List Paragraph"/>
    <w:basedOn w:val="Normlny"/>
    <w:uiPriority w:val="34"/>
    <w:qFormat/>
    <w:rsid w:val="00BF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Dalkia a.s.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Kolláriková, Dagmar</dc:creator>
  <cp:lastModifiedBy>Kolláriková, Dagmar</cp:lastModifiedBy>
  <cp:revision>3</cp:revision>
  <dcterms:created xsi:type="dcterms:W3CDTF">2022-06-03T16:08:00Z</dcterms:created>
  <dcterms:modified xsi:type="dcterms:W3CDTF">2022-06-03T16:11:00Z</dcterms:modified>
</cp:coreProperties>
</file>